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85"/>
      </w:tblGrid>
      <w:tr w:rsidR="003E0A51" w:rsidRPr="003E0A51" w14:paraId="72CD0151" w14:textId="77777777" w:rsidTr="003E0A51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0EEAB78A" w14:textId="77777777" w:rsidR="003E0A51" w:rsidRPr="003E0A51" w:rsidRDefault="003E0A51" w:rsidP="003E0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0A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TỔNG CỤC THUẾ</w:t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CỤC THUẾ TP HÀ NỘI</w:t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5D8FDAE2" w14:textId="77777777" w:rsidR="003E0A51" w:rsidRPr="003E0A51" w:rsidRDefault="003E0A51" w:rsidP="003E0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proofErr w:type="spellStart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Độc</w:t>
            </w:r>
            <w:proofErr w:type="spellEnd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lập</w:t>
            </w:r>
            <w:proofErr w:type="spellEnd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- </w:t>
            </w:r>
            <w:proofErr w:type="spellStart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Tự</w:t>
            </w:r>
            <w:proofErr w:type="spellEnd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do - </w:t>
            </w:r>
            <w:proofErr w:type="spellStart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Hạnh</w:t>
            </w:r>
            <w:proofErr w:type="spellEnd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phúc</w:t>
            </w:r>
            <w:proofErr w:type="spellEnd"/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3E0A51" w:rsidRPr="003E0A51" w14:paraId="4D9C9450" w14:textId="77777777" w:rsidTr="003E0A51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3DB86BE0" w14:textId="77777777" w:rsidR="003E0A51" w:rsidRPr="003E0A51" w:rsidRDefault="003E0A51" w:rsidP="003E0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E0A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</w:t>
            </w:r>
            <w:proofErr w:type="spellEnd"/>
            <w:r w:rsidRPr="003E0A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 </w:t>
            </w:r>
            <w:r w:rsidRPr="003E0A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40684/CT-T</w:t>
            </w:r>
            <w:r w:rsidRPr="003E0A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THT</w:t>
            </w:r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br/>
              <w:t xml:space="preserve">V/v </w:t>
            </w: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giải</w:t>
            </w:r>
            <w:proofErr w:type="spellEnd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đáp</w:t>
            </w:r>
            <w:proofErr w:type="spellEnd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chính</w:t>
            </w:r>
            <w:proofErr w:type="spellEnd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sách</w:t>
            </w:r>
            <w:proofErr w:type="spellEnd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thuế</w:t>
            </w:r>
            <w:proofErr w:type="spellEnd"/>
          </w:p>
        </w:tc>
        <w:tc>
          <w:tcPr>
            <w:tcW w:w="3100" w:type="pct"/>
            <w:shd w:val="clear" w:color="auto" w:fill="FFFFFF"/>
            <w:hideMark/>
          </w:tcPr>
          <w:p w14:paraId="670F3622" w14:textId="77777777" w:rsidR="003E0A51" w:rsidRPr="003E0A51" w:rsidRDefault="003E0A51" w:rsidP="003E0A5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Hà</w:t>
            </w:r>
            <w:proofErr w:type="spellEnd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Nội</w:t>
            </w:r>
            <w:proofErr w:type="spellEnd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, </w:t>
            </w: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</w:t>
            </w:r>
            <w:proofErr w:type="spellEnd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</w:t>
            </w:r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 t</w:t>
            </w:r>
            <w:proofErr w:type="spellStart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háng</w:t>
            </w:r>
            <w:proofErr w:type="spellEnd"/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</w:t>
            </w:r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06 </w:t>
            </w:r>
            <w:r w:rsidRPr="003E0A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 2017</w:t>
            </w:r>
          </w:p>
        </w:tc>
      </w:tr>
    </w:tbl>
    <w:p w14:paraId="0AF2925D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16E5B056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Kính</w:t>
      </w:r>
      <w:proofErr w:type="spellEnd"/>
      <w:r w:rsidRPr="003E0A5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gửi</w:t>
      </w:r>
      <w:proofErr w:type="spellEnd"/>
      <w:r w:rsidRPr="003E0A5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 Công ty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phần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Xuất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khẩu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lao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Dịch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vụ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thương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mại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Biển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Đông</w:t>
      </w:r>
      <w:r w:rsidRPr="003E0A5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(Đ/c: S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 37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Quan Hoa,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Phường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Quan Hoa,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Quận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Giấy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TP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Nội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MST: 0305282782)</w:t>
      </w:r>
    </w:p>
    <w:p w14:paraId="04AA8FB7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lời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công văn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198/BĐ/CV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17/5/2017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Công ty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phần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Xuất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khẩu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lao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Dịch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vụ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thương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mại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Bi</w:t>
      </w:r>
      <w:r w:rsidRPr="003E0A51">
        <w:rPr>
          <w:rFonts w:ascii="Arial" w:eastAsia="Times New Roman" w:hAnsi="Arial" w:cs="Arial"/>
          <w:color w:val="000000"/>
          <w:sz w:val="20"/>
          <w:szCs w:val="20"/>
        </w:rPr>
        <w:t>ể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n Đông (sau đây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gọi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Công ty)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hỏi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về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sách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Cục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TP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Nội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có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ý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kiến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như sau:</w:t>
      </w:r>
    </w:p>
    <w:p w14:paraId="1E580300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- Căn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cứ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4 Thông tư 96/2015/TT-BTC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22/6/2015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Bộ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hướng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dẫn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về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doanh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nghiệp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đổi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sung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6 Thông tư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78/2014/TT-BTC (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đổi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</w:t>
      </w:r>
      <w:r w:rsidRPr="003E0A51">
        <w:rPr>
          <w:rFonts w:ascii="Arial" w:eastAsia="Times New Roman" w:hAnsi="Arial" w:cs="Arial"/>
          <w:color w:val="000000"/>
          <w:sz w:val="20"/>
          <w:szCs w:val="20"/>
        </w:rPr>
        <w:t>u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6 Thông tư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119/2014/TT-BTC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 Thông tư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151/2014/TT-BTC)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về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kiện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xác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TNDN:</w:t>
      </w:r>
    </w:p>
    <w:p w14:paraId="3177CE39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“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6.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chịu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thuế</w:t>
      </w:r>
      <w:proofErr w:type="spellEnd"/>
    </w:p>
    <w:p w14:paraId="5C2F3586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1.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chi không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nêu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2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doan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mọi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đáp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đủ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kiện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sau:</w:t>
      </w:r>
    </w:p>
    <w:p w14:paraId="1A254733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a)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thực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phát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s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liên quan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đến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hoạt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xuất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kinh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</w:t>
      </w:r>
    </w:p>
    <w:p w14:paraId="23292A20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b)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đủ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hóa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đơn,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pháp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theo quy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pháp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</w:t>
      </w:r>
    </w:p>
    <w:p w14:paraId="7D41C2BF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c)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hóa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đơn mua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hàng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hóa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dịch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vụ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từng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lần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trị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20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triệu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đồng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trở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lên (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bao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gồm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GTGT) khi thanh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toán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thanh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toán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dùng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mặt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</w:t>
      </w:r>
    </w:p>
    <w:p w14:paraId="5ED91145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</w:t>
      </w:r>
    </w:p>
    <w:p w14:paraId="487875E2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2.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chi không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chịu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bao g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ồ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m:</w:t>
      </w:r>
    </w:p>
    <w:p w14:paraId="504F3591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</w:t>
      </w:r>
    </w:p>
    <w:p w14:paraId="09C6ED0C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2.2. Ch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ấ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u hao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thuộc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một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trong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trường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sau:</w:t>
      </w:r>
    </w:p>
    <w:p w14:paraId="2F809205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</w:t>
      </w:r>
    </w:p>
    <w:p w14:paraId="726E872E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- Không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chịu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: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Phần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trích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khấu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hao tương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nguyên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vượt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trên 1,6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tỷ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đồng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/xe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ô tô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chở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người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9 ch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ỗ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ngồi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trở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xuống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(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: 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ô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 tô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dùng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cho kinh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hành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kinh doanh du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lịch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; ô tô d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ù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để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làm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mẫu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cho kinh doanh ô tô);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phần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trích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khấu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hao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tàu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bay dân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dụng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du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thuyền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dụng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kinh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chuyển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hàng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hóa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hành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kinh doanh du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lịch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</w:t>
      </w:r>
    </w:p>
    <w:p w14:paraId="1544E6DA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Ô tô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chở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người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9 ch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ỗ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ngồi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trở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xuống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chuyên kinh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hành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du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lịch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ô tô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đăng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ký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tên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trong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Giấy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đăng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ký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hoặc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Giấy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đăng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ký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kinh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đăng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ký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một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trong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ngành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nghề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: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hành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 kinh doanh du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lịch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cấp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phép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kinh doanh theo quy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văn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pháp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về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kinh doanh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hành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du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lịch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sạn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</w:t>
      </w:r>
    </w:p>
    <w:p w14:paraId="0F58E57B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</w:t>
      </w:r>
    </w:p>
    <w:p w14:paraId="60686092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2.17.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Phần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xuất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tượng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vượt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150%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suất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nước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Nam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1F4DA66B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lastRenderedPageBreak/>
        <w:t xml:space="preserve">2.18.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tương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phần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đăng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còn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góp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kể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xuất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 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trong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quá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trình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đã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ghi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nhận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trị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trị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công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trình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.</w:t>
      </w:r>
    </w:p>
    <w:p w14:paraId="00F62780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góp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đủ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chịu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7E55F7B1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tương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còn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góp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chịu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14:paraId="430C4939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-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nhỏ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bằng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còn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4961E1C1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-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lớn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còn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góp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14:paraId="4B1E7EFB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+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bằng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tỷ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(%)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giữa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còn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trên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(x)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6BFA432A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+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một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bằng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còn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(x)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suất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(x)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góp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còn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7AEF963E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 (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2.17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)”</w:t>
      </w:r>
    </w:p>
    <w:p w14:paraId="5463CF9E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- Căn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cứ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Thông tư 45/2013/TT-BTC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25/4/2013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Bộ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hướng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dẫn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độ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quản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lý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dụng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trích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khấu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hao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14:paraId="1420CD6C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</w:rPr>
        <w:t>+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Điểm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a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4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hướng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dẫn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xác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nguyên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hữu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hình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mua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sắm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như sau:</w:t>
      </w:r>
    </w:p>
    <w:p w14:paraId="497566B9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“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4.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nguyên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14:paraId="37F2B3C7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1.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nguyên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hữu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14:paraId="74E7BAB2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a) TSCĐ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hữu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mua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sắm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14:paraId="78F243F5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Nguyên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TSCĐ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hữu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mua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sắm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kể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mua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cũ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):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mua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cộng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(+)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bao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gồm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hoàn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),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trực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ra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đến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trạng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sẵn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sàng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mua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sắm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chuyển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bốc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nâng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lắp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đặt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chạy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;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trước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trực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0126139B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…”</w:t>
      </w:r>
    </w:p>
    <w:p w14:paraId="2CCACFB1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+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7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về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đầu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tư nâng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cấp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chữa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như sau:</w:t>
      </w:r>
    </w:p>
    <w:p w14:paraId="7B8E7D7C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“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7.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nâng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14:paraId="2470EEA1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</w:t>
      </w:r>
    </w:p>
    <w:p w14:paraId="1B7F5A00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2.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tăng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nguyên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TSCĐ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trực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dần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nhưng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quá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7FAC7EB9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những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trích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trước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lớn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trích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thêm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chênh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nhỏ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trích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phần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chênh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lệch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toán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giảm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phí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17867F6A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…”</w:t>
      </w:r>
    </w:p>
    <w:p w14:paraId="1DD2B0E5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- Căn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cứ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Tiết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b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8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4 Thông tư 219/2013/TT-BTC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31/3/2013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Bộ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hướng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dẫn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hành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trị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gia tăng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Nghị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209/2013/NĐ-CP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18/12/2013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phủ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tiết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hướng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dẫn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hành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một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trị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gia tăng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về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tượng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chịu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GTGT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gồm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14:paraId="36D8FB30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 xml:space="preserve">“b)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Hoạt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cho vay riêng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lẻ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, không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hoạt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kinh doanh, cung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thường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xuyên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người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nộp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phải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tổ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 t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í</w:t>
      </w: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 xml:space="preserve">n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dụng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.”</w:t>
      </w:r>
    </w:p>
    <w:p w14:paraId="3D292A8B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- Căn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cứ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3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 Thông tư 111/2013/TT-BTC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15/8/2013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Bộ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hướng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dẫn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thực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hiện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đổi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sung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một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Nghị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65/2013/NĐ-CP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phủ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tiết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một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đổi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sung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một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Luật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như sau:</w:t>
      </w:r>
    </w:p>
    <w:p w14:paraId="6F51E29F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“3. Thu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</w:p>
    <w:p w14:paraId="336FDC95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dưới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14:paraId="656E0C7B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a)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việc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đình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nhóm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thỏa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vay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lãi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gửi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chi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nhánh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nước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ngoài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hướng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dẫn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g.1,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g,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49E1A80B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…”</w:t>
      </w:r>
    </w:p>
    <w:p w14:paraId="70F89445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+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10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như sau:</w:t>
      </w:r>
    </w:p>
    <w:p w14:paraId="0B5D18F3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“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10.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</w:p>
    <w:p w14:paraId="0D92DBC0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suất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56051470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1. Thu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</w:p>
    <w:p w14:paraId="1BEDF5AA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chịu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mà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hướng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dẫn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12F64098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2.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suất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áp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Biểu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toàn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phần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suất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5%.</w:t>
      </w:r>
    </w:p>
    <w:p w14:paraId="0C18C5CA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3.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</w:p>
    <w:p w14:paraId="2D687D32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1C97C474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…”</w:t>
      </w:r>
    </w:p>
    <w:p w14:paraId="05584F17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</w:rPr>
        <w:t>+ 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Tiết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d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25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về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khấu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như sau:</w:t>
      </w:r>
    </w:p>
    <w:p w14:paraId="27DEDAA2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“d) Thu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</w:p>
    <w:p w14:paraId="2B7631F3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vốn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hướng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dẫn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3,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trách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nhiệm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khấu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trước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trả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tự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khai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hướng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dẫn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khoản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9,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26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khấu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trừ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hướng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dẫn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10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3E0A51">
        <w:rPr>
          <w:rFonts w:ascii="Arial" w:eastAsia="Times New Roman" w:hAnsi="Arial" w:cs="Arial"/>
          <w:i/>
          <w:iCs/>
          <w:color w:val="000000"/>
          <w:sz w:val="20"/>
          <w:szCs w:val="20"/>
        </w:rPr>
        <w:t>.”</w:t>
      </w:r>
    </w:p>
    <w:p w14:paraId="7066FA7C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Căn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cứ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qu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</w:rPr>
        <w:t>y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trên:</w:t>
      </w:r>
    </w:p>
    <w:p w14:paraId="39A464A1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1.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Trường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Công ty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vốn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Ngân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hàng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để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mua xe ô tô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phục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vụ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cho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hoạt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xuất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kinh doanh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Công ty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thì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14:paraId="72B53872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-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l</w:t>
      </w:r>
      <w:r w:rsidRPr="003E0A51">
        <w:rPr>
          <w:rFonts w:ascii="Arial" w:eastAsia="Times New Roman" w:hAnsi="Arial" w:cs="Arial"/>
          <w:color w:val="000000"/>
          <w:sz w:val="20"/>
          <w:szCs w:val="20"/>
        </w:rPr>
        <w:t>ã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tiền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phát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sinh tương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tiền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để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mua ô tô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đến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điểm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đưa ô tô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trạng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sẵn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sàng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dụng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nguyên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ô tô theo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hướng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dẫn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Điểm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a,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4 Thông tư 45/2013/TT-BTC nêu trên.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ghi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trị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xe ô tô.</w:t>
      </w:r>
    </w:p>
    <w:p w14:paraId="2D4363F4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-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tương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số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tiền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để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mua ô tô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phát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sinh sau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điểm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ô tô đưa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trạng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sẵn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sàng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dụng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chịu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TNDN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nếu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đáp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kiện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6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thuộc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trường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Điểm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2.17, 2.18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6 Thông tư 78/2014/TT-BTC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18/6/2014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Bộ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(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đổi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sung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4 Thông tư 96/2015/TT-BTC nêu trên).</w:t>
      </w:r>
    </w:p>
    <w:p w14:paraId="0D5E48E8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- Công ty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xác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chịu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phần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trích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khấu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hao tương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nguyên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giá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vượt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trên 1,6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tỷ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</w:rPr>
        <w:t>ồng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/xe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ô tô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chở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người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9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chỗ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ngồi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trở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xuống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(do ô tô 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 xml:space="preserve">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xe chuyên kinh doanh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vận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hành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du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lịch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khách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sạn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dùng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để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làm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cho kinh doanh ô tô).</w:t>
      </w:r>
    </w:p>
    <w:p w14:paraId="751FA7C5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2.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chữa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ô tô trong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quá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trình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dụng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: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Trường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Công ty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phát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sinh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chữa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ô tô (thay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phụ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kiện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xe) trong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quá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trình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dụng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hạch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toán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trực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tiếp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hoặc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phân b</w:t>
      </w:r>
      <w:r w:rsidRPr="003E0A51">
        <w:rPr>
          <w:rFonts w:ascii="Arial" w:eastAsia="Times New Roman" w:hAnsi="Arial" w:cs="Arial"/>
          <w:color w:val="000000"/>
          <w:sz w:val="20"/>
          <w:szCs w:val="20"/>
        </w:rPr>
        <w:t>ổ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dần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kinh doanh trong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kỳ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nhưng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đa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quá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3 năm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nếu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đáp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kiện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về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4 Thông tư 96/2015/TT-BTC nêu trên.</w:t>
      </w:r>
    </w:p>
    <w:p w14:paraId="5A74394F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3.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đồng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vốn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nhân:</w:t>
      </w:r>
    </w:p>
    <w:p w14:paraId="37C77892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-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đồng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vốn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lãi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suất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0%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thì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phát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sinh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nghĩa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vụ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trong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trường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này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highlight w:val="yellow"/>
          <w:lang w:val="vi-VN"/>
        </w:rPr>
        <w:t>.</w:t>
      </w:r>
    </w:p>
    <w:p w14:paraId="7A694FF4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-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với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đồng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vốn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phát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sinh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cho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thì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14:paraId="352D3874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+ </w:t>
      </w:r>
      <w:r w:rsidRPr="003E0A51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ề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GTGT: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Hoạt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cho vay riêng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lẻ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hoạt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kinh doanh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thường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xuyên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thuộc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đối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tượng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chịu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GTGT;</w:t>
      </w:r>
    </w:p>
    <w:p w14:paraId="22DB9AE0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+ </w:t>
      </w:r>
      <w:r w:rsidRPr="003E0A51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ề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TNCN: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Trước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cho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nhân, Công ty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có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trách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nhiệm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khấu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5% trên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TNCN.</w:t>
      </w:r>
    </w:p>
    <w:p w14:paraId="5DD149F5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+ </w:t>
      </w:r>
      <w:r w:rsidRPr="003E0A51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ề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TNDN: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lãi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vay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nhân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vào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phí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trừ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khi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nhập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chịu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TNDN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nếu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đáp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kiện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1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6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không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thuộc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các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trường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hợp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Điểm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2.17, 2.18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Khoản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2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6 Thông tư 78/2014/TT-BTC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</w:rPr>
        <w:t>à</w:t>
      </w:r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y 18/6/2014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của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Bộ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Tài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chính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(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sửa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đổi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,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sung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Điều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4 Thông tư 96/2015/TT-BTC nêu trên).</w:t>
      </w:r>
    </w:p>
    <w:p w14:paraId="410F19E4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Cục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Thuế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TP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Hà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Nội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trả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lời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để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Công ty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cổ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phần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Xuất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khẩu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lao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động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Dịch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vụ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thương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mại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Biển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Đông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biết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và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>thực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h</w:t>
      </w:r>
      <w:proofErr w:type="spellStart"/>
      <w:r w:rsidRPr="003E0A51">
        <w:rPr>
          <w:rFonts w:ascii="Arial" w:eastAsia="Times New Roman" w:hAnsi="Arial" w:cs="Arial"/>
          <w:color w:val="000000"/>
          <w:sz w:val="20"/>
          <w:szCs w:val="20"/>
        </w:rPr>
        <w:t>iện</w:t>
      </w:r>
      <w:proofErr w:type="spellEnd"/>
      <w:r w:rsidRPr="003E0A51">
        <w:rPr>
          <w:rFonts w:ascii="Arial" w:eastAsia="Times New Roman" w:hAnsi="Arial" w:cs="Arial"/>
          <w:color w:val="000000"/>
          <w:sz w:val="20"/>
          <w:szCs w:val="20"/>
        </w:rPr>
        <w:t>./.</w:t>
      </w:r>
    </w:p>
    <w:p w14:paraId="7B610A27" w14:textId="77777777" w:rsidR="003E0A51" w:rsidRPr="003E0A51" w:rsidRDefault="003E0A51" w:rsidP="003E0A5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E0A5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E0A51" w:rsidRPr="003E0A51" w14:paraId="1C5F59D7" w14:textId="77777777" w:rsidTr="003E0A51">
        <w:trPr>
          <w:trHeight w:val="1265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8190" w14:textId="77777777" w:rsidR="003E0A51" w:rsidRPr="003E0A51" w:rsidRDefault="003E0A51" w:rsidP="003E0A5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0A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  <w:t xml:space="preserve">Nơi </w:t>
            </w:r>
            <w:proofErr w:type="spellStart"/>
            <w:r w:rsidRPr="003E0A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nhận</w:t>
            </w:r>
            <w:proofErr w:type="spellEnd"/>
            <w:r w:rsidRPr="003E0A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:</w:t>
            </w:r>
            <w:r w:rsidRPr="003E0A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trên;</w:t>
            </w:r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 xml:space="preserve">- </w:t>
            </w:r>
            <w:proofErr w:type="spellStart"/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Phòng</w:t>
            </w:r>
            <w:proofErr w:type="spellEnd"/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 xml:space="preserve"> KT 5;</w:t>
            </w:r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 xml:space="preserve">- </w:t>
            </w:r>
            <w:proofErr w:type="spellStart"/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Phòng</w:t>
            </w:r>
            <w:proofErr w:type="spellEnd"/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Pháp</w:t>
            </w:r>
            <w:proofErr w:type="spellEnd"/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 xml:space="preserve"> </w:t>
            </w:r>
            <w:proofErr w:type="spellStart"/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chế</w:t>
            </w:r>
            <w:proofErr w:type="spellEnd"/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;</w:t>
            </w:r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Lưu: VT, TTHT(2).</w:t>
            </w:r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E0A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53D8" w14:textId="77777777" w:rsidR="003E0A51" w:rsidRPr="003E0A51" w:rsidRDefault="003E0A51" w:rsidP="003E0A5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KT. CỤC TRƯỞNG</w:t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PHÓ CỤC TRƯỞNG</w:t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3E0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Mai Sơn</w:t>
            </w:r>
          </w:p>
        </w:tc>
      </w:tr>
    </w:tbl>
    <w:p w14:paraId="6D8AD93A" w14:textId="77777777" w:rsidR="008C3326" w:rsidRDefault="008C3326"/>
    <w:sectPr w:rsidR="008C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51"/>
    <w:rsid w:val="003E0A51"/>
    <w:rsid w:val="008C3326"/>
    <w:rsid w:val="009D5B43"/>
    <w:rsid w:val="00C0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7E7A2"/>
  <w15:chartTrackingRefBased/>
  <w15:docId w15:val="{54CCB900-6F51-49E8-8C88-796EF26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E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Sáng Nguyễn Hồng</dc:creator>
  <cp:keywords/>
  <dc:description/>
  <cp:lastModifiedBy>Sáng Nguyễn Hồng</cp:lastModifiedBy>
  <cp:revision>2</cp:revision>
  <dcterms:created xsi:type="dcterms:W3CDTF">2022-08-23T17:51:00Z</dcterms:created>
  <dcterms:modified xsi:type="dcterms:W3CDTF">2022-08-23T17:51:00Z</dcterms:modified>
</cp:coreProperties>
</file>